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299" w:rsidRPr="00204F8E" w:rsidRDefault="00555299" w:rsidP="00555299">
      <w:pPr>
        <w:rPr>
          <w:rFonts w:ascii="Times New Roman" w:hAnsi="Times New Roman"/>
          <w:b/>
          <w:noProof/>
          <w:sz w:val="28"/>
          <w:szCs w:val="28"/>
          <w:lang w:val="sr-Latn-CS"/>
        </w:rPr>
      </w:pPr>
    </w:p>
    <w:p w:rsidR="00204F8E" w:rsidRPr="00204F8E" w:rsidRDefault="00204F8E" w:rsidP="00204F8E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ZAKON</w:t>
      </w:r>
    </w:p>
    <w:p w:rsidR="00204F8E" w:rsidRPr="00204F8E" w:rsidRDefault="00204F8E" w:rsidP="00204F8E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IZMJENAMA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ZAKONA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PLATAMA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ZAPOSLENIH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LICA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JAVNIM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USTANOVAMA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U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OBLASTI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ZDRAVSTVA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</w:p>
    <w:p w:rsidR="00204F8E" w:rsidRPr="00204F8E" w:rsidRDefault="00204F8E" w:rsidP="00204F8E">
      <w:pPr>
        <w:jc w:val="center"/>
        <w:rPr>
          <w:rFonts w:ascii="Times New Roman" w:hAnsi="Times New Roman"/>
          <w:b/>
          <w:noProof/>
          <w:sz w:val="28"/>
          <w:szCs w:val="28"/>
          <w:lang w:val="sr-Latn-CS"/>
        </w:rPr>
      </w:pPr>
      <w:r>
        <w:rPr>
          <w:rFonts w:ascii="Times New Roman" w:hAnsi="Times New Roman"/>
          <w:b/>
          <w:noProof/>
          <w:sz w:val="28"/>
          <w:szCs w:val="28"/>
          <w:lang w:val="sr-Latn-CS"/>
        </w:rPr>
        <w:t>REPUBLIKE</w:t>
      </w:r>
      <w:r w:rsidRPr="00204F8E">
        <w:rPr>
          <w:rFonts w:ascii="Times New Roman" w:hAnsi="Times New Roman"/>
          <w:b/>
          <w:noProof/>
          <w:sz w:val="28"/>
          <w:szCs w:val="28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8"/>
          <w:szCs w:val="28"/>
          <w:lang w:val="sr-Latn-CS"/>
        </w:rPr>
        <w:t>SRPSKE</w:t>
      </w:r>
    </w:p>
    <w:p w:rsidR="00204F8E" w:rsidRPr="00204F8E" w:rsidRDefault="00204F8E" w:rsidP="00204F8E">
      <w:pPr>
        <w:ind w:right="-6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1.</w:t>
      </w: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platama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204F8E">
        <w:rPr>
          <w:rFonts w:ascii="Times New Roman" w:hAnsi="Times New Roman"/>
          <w:noProof/>
          <w:lang w:val="sr-Latn-CS"/>
        </w:rPr>
        <w:t xml:space="preserve"> („</w:t>
      </w:r>
      <w:r>
        <w:rPr>
          <w:rFonts w:ascii="Times New Roman" w:hAnsi="Times New Roman"/>
          <w:noProof/>
          <w:lang w:val="sr-Latn-CS"/>
        </w:rPr>
        <w:t>Službeni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glasnik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204F8E">
        <w:rPr>
          <w:rFonts w:ascii="Times New Roman" w:hAnsi="Times New Roman"/>
          <w:noProof/>
          <w:lang w:val="sr-Latn-CS"/>
        </w:rPr>
        <w:t xml:space="preserve">“, </w:t>
      </w:r>
      <w:r>
        <w:rPr>
          <w:rFonts w:ascii="Times New Roman" w:hAnsi="Times New Roman"/>
          <w:noProof/>
          <w:lang w:val="sr-Latn-CS"/>
        </w:rPr>
        <w:t>broj</w:t>
      </w:r>
      <w:r w:rsidRPr="00204F8E">
        <w:rPr>
          <w:rFonts w:ascii="Times New Roman" w:hAnsi="Times New Roman"/>
          <w:noProof/>
          <w:lang w:val="sr-Latn-CS"/>
        </w:rPr>
        <w:t xml:space="preserve"> 49/21), </w:t>
      </w: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2.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tabs>
          <w:tab w:val="left" w:pos="4020"/>
        </w:tabs>
        <w:ind w:right="-6"/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 xml:space="preserve">„(1) </w:t>
      </w:r>
      <w:r>
        <w:rPr>
          <w:rFonts w:ascii="Times New Roman" w:hAnsi="Times New Roman"/>
          <w:noProof/>
          <w:lang w:val="sr-Latn-CS"/>
        </w:rPr>
        <w:t>Odredbe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apotekama</w:t>
      </w:r>
      <w:r w:rsidRPr="00204F8E">
        <w:rPr>
          <w:rFonts w:ascii="Times New Roman" w:hAnsi="Times New Roman"/>
          <w:noProof/>
          <w:lang w:val="sr-Latn-CS"/>
        </w:rPr>
        <w:t>.</w:t>
      </w:r>
    </w:p>
    <w:p w:rsidR="00204F8E" w:rsidRPr="00204F8E" w:rsidRDefault="00204F8E" w:rsidP="00204F8E">
      <w:pPr>
        <w:tabs>
          <w:tab w:val="left" w:pos="4020"/>
        </w:tabs>
        <w:ind w:right="-6"/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Ovaj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može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primijeniti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privatnim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zdravstvenim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ustanovama</w:t>
      </w:r>
      <w:r w:rsidRPr="00204F8E">
        <w:rPr>
          <w:rFonts w:ascii="Times New Roman" w:hAnsi="Times New Roman"/>
          <w:noProof/>
          <w:lang w:val="sr-Latn-CS"/>
        </w:rPr>
        <w:t>.“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tabs>
          <w:tab w:val="center" w:pos="4536"/>
        </w:tabs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2.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3.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 xml:space="preserve">„ (1) </w:t>
      </w:r>
      <w:r>
        <w:rPr>
          <w:rFonts w:ascii="Times New Roman" w:hAnsi="Times New Roman"/>
          <w:noProof/>
          <w:lang w:val="sr-Latn-CS"/>
        </w:rPr>
        <w:t>Plata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zaposlenih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sastoji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osnovne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plate</w:t>
      </w:r>
      <w:r w:rsidRPr="00204F8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uvećanja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Pr="00204F8E">
        <w:rPr>
          <w:rFonts w:ascii="Times New Roman" w:hAnsi="Times New Roman"/>
          <w:noProof/>
          <w:lang w:val="sr-Latn-CS"/>
        </w:rPr>
        <w:t>.</w:t>
      </w:r>
    </w:p>
    <w:p w:rsidR="00204F8E" w:rsidRPr="00204F8E" w:rsidRDefault="00204F8E" w:rsidP="00204F8E">
      <w:pPr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 xml:space="preserve">(2) </w:t>
      </w:r>
      <w:r>
        <w:rPr>
          <w:rFonts w:ascii="Times New Roman" w:hAnsi="Times New Roman"/>
          <w:noProof/>
          <w:lang w:val="sr-Latn-CS"/>
        </w:rPr>
        <w:t>Plata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204F8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predstavlja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bruto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platu</w:t>
      </w:r>
      <w:r w:rsidRPr="00204F8E">
        <w:rPr>
          <w:rFonts w:ascii="Times New Roman" w:hAnsi="Times New Roman"/>
          <w:noProof/>
          <w:lang w:val="sr-Latn-CS"/>
        </w:rPr>
        <w:t>.</w:t>
      </w:r>
    </w:p>
    <w:p w:rsidR="00204F8E" w:rsidRPr="00204F8E" w:rsidRDefault="00204F8E" w:rsidP="00204F8E">
      <w:pPr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 xml:space="preserve">(3) </w:t>
      </w: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svim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elementima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čine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stava</w:t>
      </w:r>
      <w:r w:rsidRPr="00204F8E">
        <w:rPr>
          <w:rFonts w:ascii="Times New Roman" w:hAnsi="Times New Roman"/>
          <w:noProof/>
          <w:lang w:val="sr-Latn-CS"/>
        </w:rPr>
        <w:t xml:space="preserve"> 1. </w:t>
      </w:r>
      <w:r>
        <w:rPr>
          <w:rFonts w:ascii="Times New Roman" w:hAnsi="Times New Roman"/>
          <w:noProof/>
          <w:lang w:val="sr-Latn-CS"/>
        </w:rPr>
        <w:t>ovog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sadržani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porez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dohodak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doprinosi</w:t>
      </w:r>
      <w:r w:rsidRPr="00204F8E">
        <w:rPr>
          <w:rFonts w:ascii="Times New Roman" w:hAnsi="Times New Roman"/>
          <w:noProof/>
          <w:lang w:val="sr-Latn-CS"/>
        </w:rPr>
        <w:t>.</w:t>
      </w:r>
    </w:p>
    <w:p w:rsidR="00204F8E" w:rsidRPr="00204F8E" w:rsidRDefault="00204F8E" w:rsidP="00204F8E">
      <w:pPr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 xml:space="preserve">(4) </w:t>
      </w:r>
      <w:r>
        <w:rPr>
          <w:rFonts w:ascii="Times New Roman" w:hAnsi="Times New Roman"/>
          <w:noProof/>
          <w:lang w:val="sr-Latn-CS"/>
        </w:rPr>
        <w:t>Zaposleni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Budžeta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radnom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odnosu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neodređeno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vrijeme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imaju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Pr="00204F8E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visinu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Vlada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odlukom</w:t>
      </w:r>
      <w:r w:rsidRPr="00204F8E">
        <w:rPr>
          <w:rFonts w:ascii="Times New Roman" w:hAnsi="Times New Roman"/>
          <w:noProof/>
          <w:lang w:val="sr-Latn-CS"/>
        </w:rPr>
        <w:t>.</w:t>
      </w:r>
    </w:p>
    <w:p w:rsidR="00204F8E" w:rsidRPr="00204F8E" w:rsidRDefault="00204F8E" w:rsidP="00204F8E">
      <w:pPr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 xml:space="preserve">(5) </w:t>
      </w:r>
      <w:r>
        <w:rPr>
          <w:rFonts w:ascii="Times New Roman" w:hAnsi="Times New Roman"/>
          <w:noProof/>
          <w:lang w:val="sr-Latn-CS"/>
        </w:rPr>
        <w:t>Zaposleni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plata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finansira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sredstava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Republike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Srpske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mogu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ostvariti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doprinos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penzijsko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osiguranje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kojima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uređuje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oblast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dobrovoljnih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fondova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penzijskih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planova</w:t>
      </w:r>
      <w:r w:rsidRPr="00204F8E">
        <w:rPr>
          <w:rFonts w:ascii="Times New Roman" w:hAnsi="Times New Roman"/>
          <w:noProof/>
          <w:lang w:val="sr-Latn-CS"/>
        </w:rPr>
        <w:t xml:space="preserve">,  </w:t>
      </w:r>
      <w:r>
        <w:rPr>
          <w:rFonts w:ascii="Times New Roman" w:hAnsi="Times New Roman"/>
          <w:noProof/>
          <w:lang w:val="sr-Latn-CS"/>
        </w:rPr>
        <w:t>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čiju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visinu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utvrđuje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javna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zdravstvena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ustanova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posebnom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odlukom</w:t>
      </w:r>
      <w:r w:rsidRPr="00204F8E">
        <w:rPr>
          <w:rFonts w:ascii="Times New Roman" w:hAnsi="Times New Roman"/>
          <w:noProof/>
          <w:lang w:val="sr-Latn-CS"/>
        </w:rPr>
        <w:t>.“</w:t>
      </w:r>
    </w:p>
    <w:p w:rsidR="00204F8E" w:rsidRPr="00204F8E" w:rsidRDefault="00204F8E" w:rsidP="00204F8E">
      <w:pPr>
        <w:ind w:right="-6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3.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9.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tabs>
          <w:tab w:val="center" w:pos="4536"/>
        </w:tabs>
        <w:ind w:right="-6"/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zdravstvenih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ustanova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sekundarnog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tercijarnog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primarnog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nivoa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sekundarni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tercijarni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nivo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left="720" w:right="-6" w:hanging="360"/>
        <w:jc w:val="both"/>
        <w:rPr>
          <w:rFonts w:ascii="Times New Roman" w:hAnsi="Times New Roman"/>
          <w:strike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2.000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 45,40;   </w:t>
      </w:r>
    </w:p>
    <w:p w:rsidR="00204F8E" w:rsidRPr="00204F8E" w:rsidRDefault="00204F8E" w:rsidP="00204F8E">
      <w:pPr>
        <w:ind w:left="720" w:right="-6" w:hanging="36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1.000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2.000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 36,79;  </w:t>
      </w:r>
    </w:p>
    <w:p w:rsidR="00204F8E" w:rsidRPr="00204F8E" w:rsidRDefault="00204F8E" w:rsidP="00204F8E">
      <w:pPr>
        <w:ind w:left="720" w:right="-6" w:hanging="36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500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1.000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 34,81;     </w:t>
      </w:r>
    </w:p>
    <w:p w:rsidR="00204F8E" w:rsidRPr="00204F8E" w:rsidRDefault="00204F8E" w:rsidP="00204F8E">
      <w:pPr>
        <w:ind w:left="720" w:right="-6" w:hanging="36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500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…….................. 31,34;  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primarni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nivo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left="540" w:right="-6" w:hanging="18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 34,81;</w:t>
      </w:r>
    </w:p>
    <w:p w:rsidR="00204F8E" w:rsidRPr="00204F8E" w:rsidRDefault="00204F8E" w:rsidP="00204F8E">
      <w:pPr>
        <w:ind w:left="540" w:right="-6" w:hanging="18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50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 31,34;</w:t>
      </w:r>
    </w:p>
    <w:p w:rsidR="00204F8E" w:rsidRPr="00204F8E" w:rsidRDefault="00204F8E" w:rsidP="00204F8E">
      <w:pPr>
        <w:ind w:left="540" w:right="-6" w:hanging="18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50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…............. 29,60;</w:t>
      </w:r>
    </w:p>
    <w:p w:rsidR="00204F8E" w:rsidRPr="00204F8E" w:rsidRDefault="00204F8E" w:rsidP="00204F8E">
      <w:pPr>
        <w:ind w:left="540" w:right="-6" w:hanging="18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četiri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deset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timova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 27,87;</w:t>
      </w:r>
    </w:p>
    <w:p w:rsidR="00204F8E" w:rsidRPr="00204F8E" w:rsidRDefault="00204F8E" w:rsidP="00204F8E">
      <w:pPr>
        <w:ind w:left="540" w:right="-6" w:hanging="18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5.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četiri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tima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porodične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medicine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.….................. 24,31;</w:t>
      </w:r>
    </w:p>
    <w:p w:rsidR="00204F8E" w:rsidRPr="00204F8E" w:rsidRDefault="00204F8E" w:rsidP="00204F8E">
      <w:pPr>
        <w:tabs>
          <w:tab w:val="center" w:pos="4536"/>
        </w:tabs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3)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javne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apoteke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primjenjuje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zdravlja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osnovanog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lokalne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samouprave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kojoj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osniva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apoteka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.“</w:t>
      </w:r>
    </w:p>
    <w:p w:rsidR="00204F8E" w:rsidRDefault="00204F8E" w:rsidP="00204F8E">
      <w:pPr>
        <w:tabs>
          <w:tab w:val="center" w:pos="4536"/>
        </w:tabs>
        <w:ind w:right="-6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tabs>
          <w:tab w:val="center" w:pos="4536"/>
        </w:tabs>
        <w:ind w:right="-6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tabs>
          <w:tab w:val="center" w:pos="4536"/>
        </w:tabs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4.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10.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„(1)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drugu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ovlašćenjima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odgovornostima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rukovodioci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osnovnih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organizacionih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jedinica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koje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raspoređuje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osnovu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rukovođenja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složenosti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odgovornosti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to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left="270"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1. 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zamjenik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..…………..……………………... 90%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left="270"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savjetnik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….…… 85%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left="270"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prosječna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VSS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uvećana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20%;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left="270"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rukovodilac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unutrašnje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uvećana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5%;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left="270"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glavna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………………….........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višom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uvećana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5%;</w:t>
      </w:r>
    </w:p>
    <w:p w:rsidR="00204F8E" w:rsidRPr="00204F8E" w:rsidRDefault="00204F8E" w:rsidP="00204F8E">
      <w:pPr>
        <w:ind w:left="270"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glavna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zdravstvene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ustanove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………………….........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15,11;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6)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left="270"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glavna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.…...................................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13,32.“</w:t>
      </w:r>
    </w:p>
    <w:p w:rsid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5.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11.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utvrđivanje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rukovode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niti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unutrašnjim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organizacionim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jedinicama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petogodišnjem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odnosno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šestogodišnjem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supspecijalista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) ……….……………..………………………................... 23,24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25,01;    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petogodišnjem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odnosno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šestogodišnjem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specijalista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………………………………….………………................... 21,44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23,24;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petogodišnjem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odnosno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šestogodišnjem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……………………………………………………............................ 16,77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18,56.“</w:t>
      </w:r>
    </w:p>
    <w:p w:rsidR="00204F8E" w:rsidRPr="00204F8E" w:rsidRDefault="00204F8E" w:rsidP="00204F8E">
      <w:pPr>
        <w:ind w:right="-6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6.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12.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utvrđivanje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rukovode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niti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unutrašnjim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organizacionim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jedinicama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kako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slijedi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;</w:t>
      </w:r>
    </w:p>
    <w:p w:rsidR="00204F8E" w:rsidRPr="00204F8E" w:rsidRDefault="00204F8E" w:rsidP="00204F8E">
      <w:pPr>
        <w:ind w:right="-6"/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(1)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radnike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poslovima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koji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neposrednoj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vezi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pružanjem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zdravstvene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zaštite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:</w:t>
      </w:r>
    </w:p>
    <w:p w:rsidR="00204F8E" w:rsidRPr="00204F8E" w:rsidRDefault="00204F8E" w:rsidP="00204F8E">
      <w:pPr>
        <w:ind w:left="360"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četvorogodišnjem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..…….................... 16,00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17,80; </w:t>
      </w:r>
    </w:p>
    <w:p w:rsidR="00204F8E" w:rsidRPr="00204F8E" w:rsidRDefault="00204F8E" w:rsidP="00204F8E">
      <w:pPr>
        <w:ind w:left="360"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…………...................... 15,85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17,63. </w:t>
      </w:r>
    </w:p>
    <w:p w:rsidR="00204F8E" w:rsidRPr="00204F8E" w:rsidRDefault="00204F8E" w:rsidP="00204F8E">
      <w:pPr>
        <w:ind w:right="-6"/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lastRenderedPageBreak/>
        <w:t xml:space="preserve">(2)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radnike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poslovima</w:t>
      </w:r>
      <w:r w:rsidRPr="00204F8E">
        <w:rPr>
          <w:rFonts w:ascii="Times New Roman" w:eastAsia="Calibri" w:hAnsi="Times New Roman"/>
          <w:noProof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koji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nisu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neposrednoj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vezi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pružanjem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zdravstvene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zaštite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:</w:t>
      </w:r>
    </w:p>
    <w:p w:rsidR="00204F8E" w:rsidRPr="00204F8E" w:rsidRDefault="00204F8E" w:rsidP="00204F8E">
      <w:pPr>
        <w:ind w:left="360"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četvorogodišnjem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..…….................... 16,00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17,80; </w:t>
      </w:r>
    </w:p>
    <w:p w:rsidR="00204F8E" w:rsidRPr="00204F8E" w:rsidRDefault="00204F8E" w:rsidP="00204F8E">
      <w:pPr>
        <w:ind w:left="360"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obrazovanje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……....…….............. 15,85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17,63.“ </w:t>
      </w: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7.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13.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r w:rsidRPr="00204F8E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petu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grupu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razvrstavaju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radnici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poslovima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zdravstvene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njege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,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babinske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njege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drugim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poslovima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koji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neposrednoj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vezi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pružanjem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zdravstvene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zaštite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,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određuje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koeficijent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kako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slijedi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školska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 .............................................................................. 11,60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12,58;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četvorogodišnjem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 ............................ 9,09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10,92.“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8.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14.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</w:pPr>
      <w:bookmarkStart w:id="0" w:name="10013"/>
      <w:bookmarkEnd w:id="0"/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„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šestu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grupu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razvrstavaju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radnici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administrativnim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,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tehničkim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drugim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poslovima</w:t>
      </w:r>
      <w:r w:rsidRPr="00204F8E">
        <w:rPr>
          <w:rFonts w:ascii="Times New Roman" w:eastAsia="Calibri" w:hAnsi="Times New Roman"/>
          <w:noProof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koji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nisu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u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neposrednoj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vezi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pružanjem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zdravstvene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zaštite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,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a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određuje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se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platni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koeficijenti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kako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 xml:space="preserve"> </w:t>
      </w:r>
      <w:r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slijedi</w:t>
      </w:r>
      <w:r w:rsidRPr="00204F8E">
        <w:rPr>
          <w:rFonts w:ascii="Times New Roman" w:eastAsia="Calibri" w:hAnsi="Times New Roman"/>
          <w:noProof/>
          <w:shd w:val="clear" w:color="auto" w:fill="FFFFFF"/>
          <w:lang w:val="sr-Latn-CS" w:eastAsia="en-U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školska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 11,45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12,43;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četvorogodišnjem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trajanju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 ............................ 8,94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10,77.“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9.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15.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strike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sedmu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visokokvalifikovanim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obrazovanjem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VKV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),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9,86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10,77.“</w:t>
      </w:r>
    </w:p>
    <w:p w:rsid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strike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10.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16.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osmu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pStyle w:val="ListParagraph"/>
        <w:numPr>
          <w:ilvl w:val="0"/>
          <w:numId w:val="18"/>
        </w:numPr>
        <w:tabs>
          <w:tab w:val="left" w:pos="360"/>
        </w:tabs>
        <w:ind w:left="0" w:right="-6" w:firstLine="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radno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mjesto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kvalifikovanog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KV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) ………………………………….... 7,13;</w:t>
      </w:r>
    </w:p>
    <w:p w:rsidR="00204F8E" w:rsidRPr="00204F8E" w:rsidRDefault="00204F8E" w:rsidP="00204F8E">
      <w:pPr>
        <w:numPr>
          <w:ilvl w:val="0"/>
          <w:numId w:val="18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SSS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najmanje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školovanja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….……..… 7,13.“</w:t>
      </w:r>
    </w:p>
    <w:p w:rsidR="00204F8E" w:rsidRDefault="00204F8E" w:rsidP="00204F8E">
      <w:pPr>
        <w:shd w:val="clear" w:color="auto" w:fill="FFFFFF"/>
        <w:ind w:right="-6"/>
        <w:outlineLvl w:val="1"/>
        <w:rPr>
          <w:rFonts w:ascii="Times New Roman" w:hAnsi="Times New Roman"/>
          <w:b/>
          <w:bCs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shd w:val="clear" w:color="auto" w:fill="FFFFFF"/>
        <w:ind w:right="-6"/>
        <w:outlineLvl w:val="1"/>
        <w:rPr>
          <w:rFonts w:ascii="Times New Roman" w:hAnsi="Times New Roman"/>
          <w:b/>
          <w:bCs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11.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17.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lang w:val="sr-Latn-CS"/>
        </w:rPr>
        <w:t>„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devetu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6,25.“</w:t>
      </w:r>
    </w:p>
    <w:p w:rsid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12.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18.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desetu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platnu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grupu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razvrstava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koeficijent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204F8E">
        <w:rPr>
          <w:rFonts w:ascii="Times New Roman" w:hAnsi="Times New Roman"/>
          <w:noProof/>
          <w:spacing w:val="-4"/>
          <w:bdr w:val="none" w:sz="0" w:space="0" w:color="auto" w:frame="1"/>
          <w:shd w:val="clear" w:color="auto" w:fill="FFFFFF"/>
          <w:lang w:val="sr-Latn-CS" w:eastAsia="en-GB"/>
        </w:rPr>
        <w:t xml:space="preserve"> 6,00.“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13.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19.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„(1)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8" w:anchor="clan300000010" w:history="1">
        <w:r w:rsidRPr="00204F8E">
          <w:rPr>
            <w:rFonts w:ascii="Times New Roman" w:hAnsi="Times New Roman"/>
            <w:noProof/>
            <w:bdr w:val="none" w:sz="0" w:space="0" w:color="auto" w:frame="1"/>
            <w:shd w:val="clear" w:color="auto" w:fill="FFFFFF"/>
            <w:lang w:val="sr-Latn-CS" w:eastAsia="en-GB"/>
          </w:rPr>
          <w:t>11</w:t>
        </w:r>
      </w:hyperlink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…………………………….…................................................. 23,24;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..……………………………………….….………................ 24,13;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.………………..……………………………………….…… 25,01.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9" w:anchor="clan300000010" w:history="1">
        <w:r w:rsidRPr="00204F8E">
          <w:rPr>
            <w:rFonts w:ascii="Times New Roman" w:hAnsi="Times New Roman"/>
            <w:noProof/>
            <w:bdr w:val="none" w:sz="0" w:space="0" w:color="auto" w:frame="1"/>
            <w:shd w:val="clear" w:color="auto" w:fill="FFFFFF"/>
            <w:lang w:val="sr-Latn-CS" w:eastAsia="en-GB"/>
          </w:rPr>
          <w:t>11</w:t>
        </w:r>
      </w:hyperlink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................................................................................................. 21,44;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22,35;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23,24.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(3)</w:t>
      </w:r>
      <w:r w:rsidRPr="00204F8E">
        <w:rPr>
          <w:rFonts w:ascii="Times New Roman" w:eastAsia="Calibri" w:hAnsi="Times New Roman"/>
          <w:noProof/>
          <w:lang w:val="sr-Latn-CS" w:eastAsia="en-US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11.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3)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16,77;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17,67;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18,56.“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14.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20.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„(1)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numPr>
          <w:ilvl w:val="0"/>
          <w:numId w:val="19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 16,00;</w:t>
      </w:r>
    </w:p>
    <w:p w:rsidR="00204F8E" w:rsidRPr="00204F8E" w:rsidRDefault="00204F8E" w:rsidP="00204F8E">
      <w:pPr>
        <w:numPr>
          <w:ilvl w:val="0"/>
          <w:numId w:val="19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 16,91;</w:t>
      </w:r>
    </w:p>
    <w:p w:rsidR="00204F8E" w:rsidRPr="00204F8E" w:rsidRDefault="00204F8E" w:rsidP="00204F8E">
      <w:pPr>
        <w:numPr>
          <w:ilvl w:val="0"/>
          <w:numId w:val="19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 17,80.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numPr>
          <w:ilvl w:val="0"/>
          <w:numId w:val="21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15,85;</w:t>
      </w:r>
    </w:p>
    <w:p w:rsidR="00204F8E" w:rsidRPr="00204F8E" w:rsidRDefault="00204F8E" w:rsidP="00204F8E">
      <w:pPr>
        <w:numPr>
          <w:ilvl w:val="0"/>
          <w:numId w:val="21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 16,74;</w:t>
      </w:r>
    </w:p>
    <w:p w:rsidR="00204F8E" w:rsidRPr="00204F8E" w:rsidRDefault="00204F8E" w:rsidP="00204F8E">
      <w:pPr>
        <w:tabs>
          <w:tab w:val="left" w:pos="360"/>
        </w:tabs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17,63.</w:t>
      </w:r>
    </w:p>
    <w:p w:rsidR="00204F8E" w:rsidRPr="00204F8E" w:rsidRDefault="00204F8E" w:rsidP="00204F8E">
      <w:pPr>
        <w:tabs>
          <w:tab w:val="left" w:pos="360"/>
        </w:tabs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2. 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numPr>
          <w:ilvl w:val="0"/>
          <w:numId w:val="20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16,00;</w:t>
      </w:r>
    </w:p>
    <w:p w:rsidR="00204F8E" w:rsidRPr="00204F8E" w:rsidRDefault="00204F8E" w:rsidP="00204F8E">
      <w:pPr>
        <w:numPr>
          <w:ilvl w:val="0"/>
          <w:numId w:val="20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16,91;</w:t>
      </w:r>
    </w:p>
    <w:p w:rsidR="00204F8E" w:rsidRPr="00204F8E" w:rsidRDefault="00204F8E" w:rsidP="00204F8E">
      <w:pPr>
        <w:numPr>
          <w:ilvl w:val="0"/>
          <w:numId w:val="20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17,80.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stav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numPr>
          <w:ilvl w:val="0"/>
          <w:numId w:val="22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15,85;</w:t>
      </w:r>
    </w:p>
    <w:p w:rsidR="00204F8E" w:rsidRPr="00204F8E" w:rsidRDefault="00204F8E" w:rsidP="00204F8E">
      <w:pPr>
        <w:numPr>
          <w:ilvl w:val="0"/>
          <w:numId w:val="22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16,74;</w:t>
      </w:r>
    </w:p>
    <w:p w:rsidR="00204F8E" w:rsidRPr="00204F8E" w:rsidRDefault="00204F8E" w:rsidP="00204F8E">
      <w:pPr>
        <w:numPr>
          <w:ilvl w:val="0"/>
          <w:numId w:val="22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17,63.“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15.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21.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>„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0" w:anchor="clan300000012" w:history="1">
        <w:r w:rsidRPr="00204F8E">
          <w:rPr>
            <w:rFonts w:ascii="Times New Roman" w:hAnsi="Times New Roman"/>
            <w:noProof/>
            <w:bdr w:val="none" w:sz="0" w:space="0" w:color="auto" w:frame="1"/>
            <w:shd w:val="clear" w:color="auto" w:fill="FFFFFF"/>
            <w:lang w:val="sr-Latn-CS" w:eastAsia="en-GB"/>
          </w:rPr>
          <w:t>13</w:t>
        </w:r>
      </w:hyperlink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numPr>
          <w:ilvl w:val="0"/>
          <w:numId w:val="23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11,60;</w:t>
      </w:r>
    </w:p>
    <w:p w:rsidR="00204F8E" w:rsidRPr="00204F8E" w:rsidRDefault="00204F8E" w:rsidP="00204F8E">
      <w:pPr>
        <w:numPr>
          <w:ilvl w:val="0"/>
          <w:numId w:val="23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 12,09;</w:t>
      </w:r>
    </w:p>
    <w:p w:rsidR="00204F8E" w:rsidRPr="00204F8E" w:rsidRDefault="00204F8E" w:rsidP="00204F8E">
      <w:pPr>
        <w:numPr>
          <w:ilvl w:val="0"/>
          <w:numId w:val="23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lastRenderedPageBreak/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 12,58.</w:t>
      </w:r>
    </w:p>
    <w:p w:rsidR="00204F8E" w:rsidRPr="00204F8E" w:rsidRDefault="00204F8E" w:rsidP="00204F8E">
      <w:pPr>
        <w:ind w:right="-6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1" w:anchor="clan300000012" w:history="1">
        <w:r w:rsidRPr="00204F8E">
          <w:rPr>
            <w:rFonts w:ascii="Times New Roman" w:hAnsi="Times New Roman"/>
            <w:noProof/>
            <w:bdr w:val="none" w:sz="0" w:space="0" w:color="auto" w:frame="1"/>
            <w:shd w:val="clear" w:color="auto" w:fill="FFFFFF"/>
            <w:lang w:val="sr-Latn-CS" w:eastAsia="en-GB"/>
          </w:rPr>
          <w:t>13</w:t>
        </w:r>
      </w:hyperlink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numPr>
          <w:ilvl w:val="0"/>
          <w:numId w:val="24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 9,09;</w:t>
      </w:r>
    </w:p>
    <w:p w:rsidR="00204F8E" w:rsidRPr="00204F8E" w:rsidRDefault="00204F8E" w:rsidP="00204F8E">
      <w:pPr>
        <w:numPr>
          <w:ilvl w:val="0"/>
          <w:numId w:val="24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 10,02;</w:t>
      </w:r>
    </w:p>
    <w:p w:rsidR="00204F8E" w:rsidRPr="00204F8E" w:rsidRDefault="00204F8E" w:rsidP="00204F8E">
      <w:pPr>
        <w:numPr>
          <w:ilvl w:val="0"/>
          <w:numId w:val="24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………................................................................................. 10,92.“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16.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22.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contextualSpacing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„(1)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2" w:anchor="clan300000013" w:history="1">
        <w:r w:rsidRPr="00204F8E">
          <w:rPr>
            <w:rFonts w:ascii="Times New Roman" w:hAnsi="Times New Roman"/>
            <w:noProof/>
            <w:bdr w:val="none" w:sz="0" w:space="0" w:color="auto" w:frame="1"/>
            <w:shd w:val="clear" w:color="auto" w:fill="FFFFFF"/>
            <w:lang w:val="sr-Latn-CS" w:eastAsia="en-GB"/>
          </w:rPr>
          <w:t>14</w:t>
        </w:r>
      </w:hyperlink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numPr>
          <w:ilvl w:val="0"/>
          <w:numId w:val="25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..…….................................................................................... 11,45;</w:t>
      </w:r>
    </w:p>
    <w:p w:rsidR="00204F8E" w:rsidRPr="00204F8E" w:rsidRDefault="00204F8E" w:rsidP="00204F8E">
      <w:pPr>
        <w:numPr>
          <w:ilvl w:val="0"/>
          <w:numId w:val="25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 11,94;</w:t>
      </w:r>
    </w:p>
    <w:p w:rsidR="00204F8E" w:rsidRPr="00204F8E" w:rsidRDefault="00204F8E" w:rsidP="00204F8E">
      <w:pPr>
        <w:numPr>
          <w:ilvl w:val="0"/>
          <w:numId w:val="25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 12,43.</w:t>
      </w:r>
    </w:p>
    <w:p w:rsidR="00204F8E" w:rsidRPr="00204F8E" w:rsidRDefault="00204F8E" w:rsidP="00204F8E">
      <w:pPr>
        <w:ind w:right="-6"/>
        <w:contextualSpacing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Šesta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3" w:anchor="clan300000013" w:history="1">
        <w:r w:rsidRPr="00204F8E">
          <w:rPr>
            <w:rFonts w:ascii="Times New Roman" w:hAnsi="Times New Roman"/>
            <w:noProof/>
            <w:bdr w:val="none" w:sz="0" w:space="0" w:color="auto" w:frame="1"/>
            <w:shd w:val="clear" w:color="auto" w:fill="FFFFFF"/>
            <w:lang w:val="sr-Latn-CS" w:eastAsia="en-GB"/>
          </w:rPr>
          <w:t>14</w:t>
        </w:r>
      </w:hyperlink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tačka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2)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tri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numPr>
          <w:ilvl w:val="0"/>
          <w:numId w:val="26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8,94;</w:t>
      </w:r>
    </w:p>
    <w:p w:rsidR="00204F8E" w:rsidRPr="00204F8E" w:rsidRDefault="00204F8E" w:rsidP="00204F8E">
      <w:pPr>
        <w:numPr>
          <w:ilvl w:val="0"/>
          <w:numId w:val="26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 9,86;</w:t>
      </w:r>
    </w:p>
    <w:p w:rsidR="00204F8E" w:rsidRPr="00204F8E" w:rsidRDefault="00204F8E" w:rsidP="00204F8E">
      <w:pPr>
        <w:numPr>
          <w:ilvl w:val="0"/>
          <w:numId w:val="26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treći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 10,77.“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17.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23. </w:t>
      </w:r>
      <w:r>
        <w:rPr>
          <w:rFonts w:ascii="Times New Roman" w:hAnsi="Times New Roman"/>
          <w:noProof/>
          <w:lang w:val="sr-Latn-CS"/>
        </w:rPr>
        <w:t>mijenja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glasi</w:t>
      </w:r>
      <w:r w:rsidRPr="00204F8E">
        <w:rPr>
          <w:rFonts w:ascii="Times New Roman" w:hAnsi="Times New Roman"/>
          <w:noProof/>
          <w:lang w:val="sr-Latn-CS"/>
        </w:rPr>
        <w:t>: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Sedma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14" w:anchor="clan300000014" w:history="1">
        <w:r w:rsidRPr="00204F8E">
          <w:rPr>
            <w:rFonts w:ascii="Times New Roman" w:hAnsi="Times New Roman"/>
            <w:noProof/>
            <w:bdr w:val="none" w:sz="0" w:space="0" w:color="auto" w:frame="1"/>
            <w:shd w:val="clear" w:color="auto" w:fill="FFFFFF"/>
            <w:lang w:val="sr-Latn-CS" w:eastAsia="en-GB"/>
          </w:rPr>
          <w:t>15</w:t>
        </w:r>
      </w:hyperlink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ijeli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dva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razreda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utvrđuju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sljedeći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koeficijenti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204F8E" w:rsidRPr="00204F8E" w:rsidRDefault="00204F8E" w:rsidP="00204F8E">
      <w:pPr>
        <w:pStyle w:val="ListParagraph"/>
        <w:numPr>
          <w:ilvl w:val="0"/>
          <w:numId w:val="27"/>
        </w:numPr>
        <w:tabs>
          <w:tab w:val="left" w:pos="360"/>
        </w:tabs>
        <w:ind w:left="0" w:right="-6" w:firstLine="0"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prvi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................................................................................................. 9,86;</w:t>
      </w:r>
    </w:p>
    <w:p w:rsidR="00204F8E" w:rsidRPr="00204F8E" w:rsidRDefault="00204F8E" w:rsidP="00204F8E">
      <w:pPr>
        <w:numPr>
          <w:ilvl w:val="0"/>
          <w:numId w:val="27"/>
        </w:numPr>
        <w:tabs>
          <w:tab w:val="left" w:pos="360"/>
        </w:tabs>
        <w:ind w:left="0" w:right="-6" w:firstLine="0"/>
        <w:contextualSpacing/>
        <w:jc w:val="both"/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drugi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platni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>razred</w:t>
      </w:r>
      <w:r w:rsidRPr="00204F8E">
        <w:rPr>
          <w:rFonts w:ascii="Times New Roman" w:hAnsi="Times New Roman"/>
          <w:noProof/>
          <w:bdr w:val="none" w:sz="0" w:space="0" w:color="auto" w:frame="1"/>
          <w:shd w:val="clear" w:color="auto" w:fill="FFFFFF"/>
          <w:lang w:val="sr-Latn-CS" w:eastAsia="en-GB"/>
        </w:rPr>
        <w:t xml:space="preserve"> ............................................................................................... 10,77.“</w:t>
      </w:r>
    </w:p>
    <w:p w:rsidR="00204F8E" w:rsidRPr="00204F8E" w:rsidRDefault="00204F8E" w:rsidP="00204F8E">
      <w:pPr>
        <w:ind w:right="-6"/>
        <w:contextualSpacing/>
        <w:jc w:val="both"/>
        <w:rPr>
          <w:rFonts w:ascii="Times New Roman" w:hAnsi="Times New Roman"/>
          <w:noProof/>
          <w:color w:val="FF0000"/>
          <w:bdr w:val="none" w:sz="0" w:space="0" w:color="auto" w:frame="1"/>
          <w:shd w:val="clear" w:color="auto" w:fill="FFFFFF"/>
          <w:lang w:val="sr-Latn-CS" w:eastAsia="en-GB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color w:val="FF0000"/>
          <w:lang w:val="sr-Latn-CS"/>
        </w:rPr>
      </w:pPr>
    </w:p>
    <w:p w:rsidR="00204F8E" w:rsidRPr="00204F8E" w:rsidRDefault="00204F8E" w:rsidP="00204F8E">
      <w:pPr>
        <w:ind w:right="-6"/>
        <w:jc w:val="center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Pr="00204F8E">
        <w:rPr>
          <w:rFonts w:ascii="Times New Roman" w:hAnsi="Times New Roman"/>
          <w:noProof/>
          <w:lang w:val="sr-Latn-CS"/>
        </w:rPr>
        <w:t xml:space="preserve"> 18.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 w:firstLine="720"/>
        <w:jc w:val="both"/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Ovaj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zakon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„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stupa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snagu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januara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 xml:space="preserve"> 2022. </w:t>
      </w:r>
      <w:r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Pr="00204F8E">
        <w:rPr>
          <w:rFonts w:ascii="Times New Roman" w:hAnsi="Times New Roman"/>
          <w:noProof/>
          <w:color w:val="000000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</w:p>
    <w:p w:rsidR="00204F8E" w:rsidRPr="00204F8E" w:rsidRDefault="00204F8E" w:rsidP="00204F8E">
      <w:pPr>
        <w:tabs>
          <w:tab w:val="center" w:pos="7560"/>
        </w:tabs>
        <w:ind w:right="-6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Broj</w:t>
      </w:r>
      <w:r w:rsidRPr="00204F8E">
        <w:rPr>
          <w:rFonts w:ascii="Times New Roman" w:hAnsi="Times New Roman"/>
          <w:noProof/>
          <w:lang w:val="sr-Latn-CS"/>
        </w:rPr>
        <w:t xml:space="preserve">: 02/1-021- </w:t>
      </w:r>
      <w:r w:rsidR="00326D5F">
        <w:rPr>
          <w:rFonts w:ascii="Times New Roman" w:hAnsi="Times New Roman"/>
          <w:noProof/>
          <w:lang w:val="sr-Latn-CS"/>
        </w:rPr>
        <w:t>1069</w:t>
      </w:r>
      <w:bookmarkStart w:id="1" w:name="_GoBack"/>
      <w:bookmarkEnd w:id="1"/>
      <w:r w:rsidRPr="00204F8E">
        <w:rPr>
          <w:rFonts w:ascii="Times New Roman" w:hAnsi="Times New Roman"/>
          <w:noProof/>
          <w:lang w:val="sr-Latn-CS"/>
        </w:rPr>
        <w:t xml:space="preserve"> /21</w:t>
      </w:r>
      <w:r w:rsidRPr="00204F8E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POTPREDSJEDNIK</w:t>
      </w:r>
    </w:p>
    <w:p w:rsidR="00204F8E" w:rsidRPr="00204F8E" w:rsidRDefault="00204F8E" w:rsidP="00204F8E">
      <w:pPr>
        <w:tabs>
          <w:tab w:val="center" w:pos="7560"/>
        </w:tabs>
        <w:ind w:right="-6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Datum</w:t>
      </w:r>
      <w:r w:rsidRPr="00204F8E">
        <w:rPr>
          <w:rFonts w:ascii="Times New Roman" w:hAnsi="Times New Roman"/>
          <w:noProof/>
          <w:lang w:val="sr-Latn-CS"/>
        </w:rPr>
        <w:t xml:space="preserve">: 15. </w:t>
      </w:r>
      <w:r>
        <w:rPr>
          <w:rFonts w:ascii="Times New Roman" w:hAnsi="Times New Roman"/>
          <w:noProof/>
          <w:lang w:val="sr-Latn-CS"/>
        </w:rPr>
        <w:t>decembra</w:t>
      </w:r>
      <w:r w:rsidRPr="00204F8E">
        <w:rPr>
          <w:rFonts w:ascii="Times New Roman" w:hAnsi="Times New Roman"/>
          <w:noProof/>
          <w:lang w:val="sr-Latn-CS"/>
        </w:rPr>
        <w:t xml:space="preserve"> 2021. </w:t>
      </w:r>
      <w:r>
        <w:rPr>
          <w:rFonts w:ascii="Times New Roman" w:hAnsi="Times New Roman"/>
          <w:noProof/>
          <w:lang w:val="sr-Latn-CS"/>
        </w:rPr>
        <w:t>godine</w:t>
      </w:r>
      <w:r w:rsidRPr="00204F8E">
        <w:rPr>
          <w:rFonts w:ascii="Times New Roman" w:hAnsi="Times New Roman"/>
          <w:noProof/>
          <w:lang w:val="sr-Latn-CS"/>
        </w:rPr>
        <w:tab/>
        <w:t xml:space="preserve"> </w:t>
      </w:r>
      <w:r>
        <w:rPr>
          <w:rFonts w:ascii="Times New Roman" w:hAnsi="Times New Roman"/>
          <w:noProof/>
          <w:lang w:val="sr-Latn-CS"/>
        </w:rPr>
        <w:t>NARODNE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SKUPŠTINE</w:t>
      </w:r>
    </w:p>
    <w:p w:rsidR="00204F8E" w:rsidRPr="00204F8E" w:rsidRDefault="00204F8E" w:rsidP="00204F8E">
      <w:pPr>
        <w:ind w:right="-6"/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ab/>
      </w:r>
    </w:p>
    <w:p w:rsidR="00204F8E" w:rsidRPr="00204F8E" w:rsidRDefault="00204F8E" w:rsidP="00204F8E">
      <w:pPr>
        <w:tabs>
          <w:tab w:val="center" w:pos="7560"/>
        </w:tabs>
        <w:ind w:right="-6"/>
        <w:jc w:val="both"/>
        <w:rPr>
          <w:rFonts w:ascii="Times New Roman" w:hAnsi="Times New Roman"/>
          <w:noProof/>
          <w:lang w:val="sr-Latn-CS"/>
        </w:rPr>
      </w:pPr>
      <w:r w:rsidRPr="00204F8E">
        <w:rPr>
          <w:rFonts w:ascii="Times New Roman" w:hAnsi="Times New Roman"/>
          <w:noProof/>
          <w:lang w:val="sr-Latn-CS"/>
        </w:rPr>
        <w:tab/>
      </w:r>
      <w:r>
        <w:rPr>
          <w:rFonts w:ascii="Times New Roman" w:hAnsi="Times New Roman"/>
          <w:noProof/>
          <w:lang w:val="sr-Latn-CS"/>
        </w:rPr>
        <w:t>Denis</w:t>
      </w:r>
      <w:r w:rsidRPr="00204F8E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Šulić</w:t>
      </w:r>
    </w:p>
    <w:p w:rsidR="00552D70" w:rsidRPr="00204F8E" w:rsidRDefault="00552D70" w:rsidP="00204F8E">
      <w:pPr>
        <w:jc w:val="center"/>
        <w:rPr>
          <w:rFonts w:ascii="Times New Roman" w:hAnsi="Times New Roman"/>
          <w:noProof/>
          <w:lang w:val="sr-Latn-CS"/>
        </w:rPr>
      </w:pPr>
    </w:p>
    <w:sectPr w:rsidR="00552D70" w:rsidRPr="00204F8E" w:rsidSect="00B95655">
      <w:footerReference w:type="even" r:id="rId15"/>
      <w:footerReference w:type="default" r:id="rId16"/>
      <w:pgSz w:w="11906" w:h="16838" w:code="9"/>
      <w:pgMar w:top="1411" w:right="1411" w:bottom="1411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9A3" w:rsidRDefault="002219A3">
      <w:r>
        <w:separator/>
      </w:r>
    </w:p>
  </w:endnote>
  <w:endnote w:type="continuationSeparator" w:id="0">
    <w:p w:rsidR="002219A3" w:rsidRDefault="00221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555299" w:rsidP="00B379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B37" w:rsidRDefault="002219A3" w:rsidP="0020300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B37" w:rsidRDefault="002219A3" w:rsidP="00B379E9">
    <w:pPr>
      <w:pStyle w:val="Footer"/>
      <w:framePr w:wrap="around" w:vAnchor="text" w:hAnchor="margin" w:xAlign="right" w:y="1"/>
      <w:rPr>
        <w:rStyle w:val="PageNumber"/>
      </w:rPr>
    </w:pPr>
  </w:p>
  <w:p w:rsidR="00AA1B37" w:rsidRDefault="002219A3" w:rsidP="002030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9A3" w:rsidRDefault="002219A3">
      <w:r>
        <w:separator/>
      </w:r>
    </w:p>
  </w:footnote>
  <w:footnote w:type="continuationSeparator" w:id="0">
    <w:p w:rsidR="002219A3" w:rsidRDefault="00221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85507"/>
    <w:multiLevelType w:val="hybridMultilevel"/>
    <w:tmpl w:val="83525C54"/>
    <w:lvl w:ilvl="0" w:tplc="08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A2889"/>
    <w:multiLevelType w:val="hybridMultilevel"/>
    <w:tmpl w:val="1C705F8A"/>
    <w:lvl w:ilvl="0" w:tplc="2996BD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D305E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220943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974CF3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70C9E"/>
    <w:multiLevelType w:val="hybridMultilevel"/>
    <w:tmpl w:val="FE942C26"/>
    <w:lvl w:ilvl="0" w:tplc="62747C2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0E24E2"/>
    <w:multiLevelType w:val="hybridMultilevel"/>
    <w:tmpl w:val="00528680"/>
    <w:lvl w:ilvl="0" w:tplc="1848EDA8">
      <w:start w:val="1"/>
      <w:numFmt w:val="bullet"/>
      <w:lvlText w:val="-"/>
      <w:lvlJc w:val="left"/>
      <w:pPr>
        <w:tabs>
          <w:tab w:val="num" w:pos="1988"/>
        </w:tabs>
        <w:ind w:left="1988" w:hanging="108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8"/>
        </w:tabs>
        <w:ind w:left="19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8"/>
        </w:tabs>
        <w:ind w:left="2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8"/>
        </w:tabs>
        <w:ind w:left="3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8"/>
        </w:tabs>
        <w:ind w:left="41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8"/>
        </w:tabs>
        <w:ind w:left="4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8"/>
        </w:tabs>
        <w:ind w:left="5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8"/>
        </w:tabs>
        <w:ind w:left="63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8"/>
        </w:tabs>
        <w:ind w:left="7028" w:hanging="360"/>
      </w:pPr>
      <w:rPr>
        <w:rFonts w:ascii="Wingdings" w:hAnsi="Wingdings" w:hint="default"/>
      </w:rPr>
    </w:lvl>
  </w:abstractNum>
  <w:abstractNum w:abstractNumId="7">
    <w:nsid w:val="149E12F2"/>
    <w:multiLevelType w:val="hybridMultilevel"/>
    <w:tmpl w:val="87A2B6F0"/>
    <w:lvl w:ilvl="0" w:tplc="805847E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4F0B0F"/>
    <w:multiLevelType w:val="hybridMultilevel"/>
    <w:tmpl w:val="11B0F4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684D32"/>
    <w:multiLevelType w:val="hybridMultilevel"/>
    <w:tmpl w:val="D7624A6C"/>
    <w:lvl w:ilvl="0" w:tplc="0C3237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1E220AD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3262D4"/>
    <w:multiLevelType w:val="hybridMultilevel"/>
    <w:tmpl w:val="B8A07D54"/>
    <w:lvl w:ilvl="0" w:tplc="64D6FA56">
      <w:start w:val="1"/>
      <w:numFmt w:val="decimal"/>
      <w:lvlText w:val="(%1)"/>
      <w:lvlJc w:val="left"/>
      <w:pPr>
        <w:tabs>
          <w:tab w:val="num" w:pos="2145"/>
        </w:tabs>
        <w:ind w:left="2145" w:hanging="1425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6985BA5"/>
    <w:multiLevelType w:val="hybridMultilevel"/>
    <w:tmpl w:val="7AB86014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B5AC8"/>
    <w:multiLevelType w:val="hybridMultilevel"/>
    <w:tmpl w:val="E2440D82"/>
    <w:lvl w:ilvl="0" w:tplc="59880C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94DF3"/>
    <w:multiLevelType w:val="hybridMultilevel"/>
    <w:tmpl w:val="D7624A6C"/>
    <w:lvl w:ilvl="0" w:tplc="0C32378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F447914"/>
    <w:multiLevelType w:val="hybridMultilevel"/>
    <w:tmpl w:val="48C6248A"/>
    <w:lvl w:ilvl="0" w:tplc="040CA15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2B739F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9901B15"/>
    <w:multiLevelType w:val="hybridMultilevel"/>
    <w:tmpl w:val="CFD0E7E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CC74DB2"/>
    <w:multiLevelType w:val="hybridMultilevel"/>
    <w:tmpl w:val="115EC874"/>
    <w:lvl w:ilvl="0" w:tplc="82BCF41E">
      <w:start w:val="1"/>
      <w:numFmt w:val="decimal"/>
      <w:pStyle w:val="Heading3"/>
      <w:lvlText w:val="Члан %1."/>
      <w:lvlJc w:val="center"/>
      <w:pPr>
        <w:ind w:left="486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942987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734605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A20B5A"/>
    <w:multiLevelType w:val="hybridMultilevel"/>
    <w:tmpl w:val="7ED8B9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7F7B4E"/>
    <w:multiLevelType w:val="hybridMultilevel"/>
    <w:tmpl w:val="CFD0E7EE"/>
    <w:lvl w:ilvl="0" w:tplc="A112CB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BB31FB7"/>
    <w:multiLevelType w:val="hybridMultilevel"/>
    <w:tmpl w:val="536CED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D183C55"/>
    <w:multiLevelType w:val="hybridMultilevel"/>
    <w:tmpl w:val="E880F568"/>
    <w:lvl w:ilvl="0" w:tplc="4E462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470398"/>
    <w:multiLevelType w:val="hybridMultilevel"/>
    <w:tmpl w:val="2C0409C4"/>
    <w:lvl w:ilvl="0" w:tplc="F940A40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DA731C"/>
    <w:multiLevelType w:val="hybridMultilevel"/>
    <w:tmpl w:val="926A910A"/>
    <w:lvl w:ilvl="0" w:tplc="C388B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3E51CE1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59F46AE"/>
    <w:multiLevelType w:val="hybridMultilevel"/>
    <w:tmpl w:val="536CED5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67010A6"/>
    <w:multiLevelType w:val="hybridMultilevel"/>
    <w:tmpl w:val="A72A98E0"/>
    <w:lvl w:ilvl="0" w:tplc="1568B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9B5533"/>
    <w:multiLevelType w:val="hybridMultilevel"/>
    <w:tmpl w:val="D65ADB7A"/>
    <w:lvl w:ilvl="0" w:tplc="A314D0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AB906BE"/>
    <w:multiLevelType w:val="hybridMultilevel"/>
    <w:tmpl w:val="926A910A"/>
    <w:lvl w:ilvl="0" w:tplc="C388BA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CD1604D"/>
    <w:multiLevelType w:val="hybridMultilevel"/>
    <w:tmpl w:val="BC6C0CA2"/>
    <w:lvl w:ilvl="0" w:tplc="97369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E447A01"/>
    <w:multiLevelType w:val="hybridMultilevel"/>
    <w:tmpl w:val="23B8D6C4"/>
    <w:lvl w:ilvl="0" w:tplc="10F268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D2DEA"/>
    <w:multiLevelType w:val="hybridMultilevel"/>
    <w:tmpl w:val="C38A0252"/>
    <w:lvl w:ilvl="0" w:tplc="A4D4F4D8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5">
    <w:nsid w:val="71046EC9"/>
    <w:multiLevelType w:val="hybridMultilevel"/>
    <w:tmpl w:val="68DAF7EC"/>
    <w:lvl w:ilvl="0" w:tplc="02C8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2C12043"/>
    <w:multiLevelType w:val="hybridMultilevel"/>
    <w:tmpl w:val="33D61C42"/>
    <w:lvl w:ilvl="0" w:tplc="BC84CB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4B7F1D"/>
    <w:multiLevelType w:val="hybridMultilevel"/>
    <w:tmpl w:val="278222AE"/>
    <w:lvl w:ilvl="0" w:tplc="AA00663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34"/>
  </w:num>
  <w:num w:numId="10">
    <w:abstractNumId w:val="37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33"/>
  </w:num>
  <w:num w:numId="14">
    <w:abstractNumId w:val="7"/>
  </w:num>
  <w:num w:numId="15">
    <w:abstractNumId w:val="13"/>
  </w:num>
  <w:num w:numId="16">
    <w:abstractNumId w:val="36"/>
  </w:num>
  <w:num w:numId="17">
    <w:abstractNumId w:val="29"/>
  </w:num>
  <w:num w:numId="18">
    <w:abstractNumId w:val="4"/>
  </w:num>
  <w:num w:numId="19">
    <w:abstractNumId w:val="28"/>
  </w:num>
  <w:num w:numId="20">
    <w:abstractNumId w:val="17"/>
  </w:num>
  <w:num w:numId="21">
    <w:abstractNumId w:val="26"/>
  </w:num>
  <w:num w:numId="22">
    <w:abstractNumId w:val="9"/>
  </w:num>
  <w:num w:numId="23">
    <w:abstractNumId w:val="35"/>
  </w:num>
  <w:num w:numId="24">
    <w:abstractNumId w:val="3"/>
  </w:num>
  <w:num w:numId="25">
    <w:abstractNumId w:val="30"/>
  </w:num>
  <w:num w:numId="26">
    <w:abstractNumId w:val="20"/>
  </w:num>
  <w:num w:numId="27">
    <w:abstractNumId w:val="32"/>
  </w:num>
  <w:num w:numId="28">
    <w:abstractNumId w:val="18"/>
  </w:num>
  <w:num w:numId="29">
    <w:abstractNumId w:val="24"/>
  </w:num>
  <w:num w:numId="30">
    <w:abstractNumId w:val="23"/>
  </w:num>
  <w:num w:numId="31">
    <w:abstractNumId w:val="31"/>
  </w:num>
  <w:num w:numId="32">
    <w:abstractNumId w:val="22"/>
  </w:num>
  <w:num w:numId="33">
    <w:abstractNumId w:val="14"/>
  </w:num>
  <w:num w:numId="34">
    <w:abstractNumId w:val="10"/>
  </w:num>
  <w:num w:numId="35">
    <w:abstractNumId w:val="19"/>
  </w:num>
  <w:num w:numId="36">
    <w:abstractNumId w:val="2"/>
  </w:num>
  <w:num w:numId="37">
    <w:abstractNumId w:val="16"/>
  </w:num>
  <w:num w:numId="38">
    <w:abstractNumId w:val="27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55C"/>
    <w:rsid w:val="000A0A1B"/>
    <w:rsid w:val="00204F8E"/>
    <w:rsid w:val="002219A3"/>
    <w:rsid w:val="00280E87"/>
    <w:rsid w:val="00326D5F"/>
    <w:rsid w:val="00552D70"/>
    <w:rsid w:val="00555299"/>
    <w:rsid w:val="007F4706"/>
    <w:rsid w:val="0089702E"/>
    <w:rsid w:val="008E60ED"/>
    <w:rsid w:val="00914BCD"/>
    <w:rsid w:val="00962744"/>
    <w:rsid w:val="009F564A"/>
    <w:rsid w:val="00A34DA6"/>
    <w:rsid w:val="00A36B20"/>
    <w:rsid w:val="00A6432B"/>
    <w:rsid w:val="00AB766B"/>
    <w:rsid w:val="00BF60DD"/>
    <w:rsid w:val="00C9055C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299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2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52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5299"/>
    <w:pPr>
      <w:keepNext/>
      <w:numPr>
        <w:numId w:val="28"/>
      </w:numPr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529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529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5299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5299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5299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5299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5299"/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5299"/>
    <w:rPr>
      <w:rFonts w:eastAsia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555299"/>
    <w:rPr>
      <w:rFonts w:eastAsia="Times New Roman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55529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529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5299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5299"/>
    <w:rPr>
      <w:rFonts w:ascii="Calibri" w:eastAsia="Times New Roman" w:hAnsi="Calibri" w:cs="Times New Roman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5299"/>
    <w:rPr>
      <w:rFonts w:ascii="Calibri" w:eastAsia="Times New Roman" w:hAnsi="Calibri" w:cs="Times New Roman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5299"/>
    <w:rPr>
      <w:rFonts w:eastAsia="Times New Roman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rsid w:val="005552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5299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555299"/>
  </w:style>
  <w:style w:type="paragraph" w:styleId="BalloonText">
    <w:name w:val="Balloon Text"/>
    <w:basedOn w:val="Normal"/>
    <w:link w:val="BalloonTextChar"/>
    <w:semiHidden/>
    <w:rsid w:val="00555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5299"/>
    <w:rPr>
      <w:rFonts w:ascii="Tahoma" w:eastAsia="Times New Roman" w:hAnsi="Tahoma" w:cs="Tahoma"/>
      <w:sz w:val="16"/>
      <w:szCs w:val="16"/>
      <w:lang w:val="bs-Latn-BA" w:eastAsia="bs-Latn-BA"/>
    </w:rPr>
  </w:style>
  <w:style w:type="paragraph" w:styleId="BodyText2">
    <w:name w:val="Body Text 2"/>
    <w:basedOn w:val="Normal"/>
    <w:link w:val="BodyText2Char"/>
    <w:rsid w:val="00555299"/>
    <w:pPr>
      <w:jc w:val="both"/>
    </w:pPr>
    <w:rPr>
      <w:lang w:val="sr-Cyrl-CS" w:eastAsia="en-US"/>
    </w:rPr>
  </w:style>
  <w:style w:type="character" w:customStyle="1" w:styleId="BodyText2Char">
    <w:name w:val="Body Text 2 Char"/>
    <w:basedOn w:val="DefaultParagraphFont"/>
    <w:link w:val="BodyText2"/>
    <w:rsid w:val="00555299"/>
    <w:rPr>
      <w:rFonts w:ascii="Calibri" w:eastAsia="Times New Roman" w:hAnsi="Calibri" w:cs="Times New Roman"/>
      <w:lang w:val="sr-Cyrl-CS"/>
    </w:rPr>
  </w:style>
  <w:style w:type="paragraph" w:customStyle="1" w:styleId="Zakon-stav">
    <w:name w:val="Zakon - stav"/>
    <w:link w:val="Zakon-stavChar"/>
    <w:rsid w:val="00555299"/>
    <w:pPr>
      <w:spacing w:after="0"/>
      <w:ind w:firstLine="851"/>
      <w:jc w:val="both"/>
    </w:pPr>
    <w:rPr>
      <w:rFonts w:ascii="Calibri" w:eastAsia="Times New Roman" w:hAnsi="Calibri" w:cs="Times New Roman"/>
      <w:lang w:val="sr-Cyrl-CS"/>
    </w:rPr>
  </w:style>
  <w:style w:type="character" w:customStyle="1" w:styleId="Zakon-clanChar1">
    <w:name w:val="Zakon - clan Char1"/>
    <w:link w:val="Zakon-clan"/>
    <w:rsid w:val="00555299"/>
    <w:rPr>
      <w:b/>
      <w:bCs/>
      <w:lang w:val="sr-Cyrl-CS"/>
    </w:rPr>
  </w:style>
  <w:style w:type="paragraph" w:customStyle="1" w:styleId="Zakon-clan">
    <w:name w:val="Zakon - clan"/>
    <w:link w:val="Zakon-clanChar1"/>
    <w:rsid w:val="00555299"/>
    <w:pPr>
      <w:keepNext/>
      <w:keepLines/>
      <w:spacing w:after="0"/>
      <w:jc w:val="center"/>
    </w:pPr>
    <w:rPr>
      <w:b/>
      <w:bCs/>
      <w:lang w:val="sr-Cyrl-CS"/>
    </w:rPr>
  </w:style>
  <w:style w:type="character" w:customStyle="1" w:styleId="Zakon-stavChar">
    <w:name w:val="Zakon - stav Char"/>
    <w:link w:val="Zakon-stav"/>
    <w:rsid w:val="00555299"/>
    <w:rPr>
      <w:rFonts w:ascii="Calibri" w:eastAsia="Times New Roman" w:hAnsi="Calibri" w:cs="Times New Roman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55299"/>
    <w:pPr>
      <w:ind w:left="720"/>
      <w:contextualSpacing/>
    </w:pPr>
  </w:style>
  <w:style w:type="paragraph" w:styleId="Header">
    <w:name w:val="header"/>
    <w:basedOn w:val="Normal"/>
    <w:link w:val="HeaderChar"/>
    <w:rsid w:val="00555299"/>
    <w:pPr>
      <w:tabs>
        <w:tab w:val="center" w:pos="4680"/>
        <w:tab w:val="right" w:pos="9360"/>
      </w:tabs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555299"/>
    <w:rPr>
      <w:rFonts w:ascii="Calibri" w:eastAsia="Times New Roman" w:hAnsi="Calibri" w:cs="Times New Roman"/>
      <w:lang w:val="sr-Latn-CS" w:eastAsia="sr-Latn-CS"/>
    </w:rPr>
  </w:style>
  <w:style w:type="character" w:styleId="CommentReference">
    <w:name w:val="annotation reference"/>
    <w:rsid w:val="00555299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5529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555299"/>
    <w:rPr>
      <w:rFonts w:eastAsia="Times New Roman" w:cs="Times New Roman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529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555299"/>
    <w:rPr>
      <w:rFonts w:eastAsia="Times New Roman" w:cs="Times New Roman"/>
      <w:lang w:val="x-none" w:eastAsia="x-none"/>
    </w:rPr>
  </w:style>
  <w:style w:type="character" w:styleId="Strong">
    <w:name w:val="Strong"/>
    <w:uiPriority w:val="22"/>
    <w:qFormat/>
    <w:rsid w:val="00555299"/>
    <w:rPr>
      <w:b/>
      <w:bCs/>
    </w:rPr>
  </w:style>
  <w:style w:type="character" w:styleId="Emphasis">
    <w:name w:val="Emphasis"/>
    <w:uiPriority w:val="20"/>
    <w:qFormat/>
    <w:rsid w:val="0055529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555299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555299"/>
    <w:rPr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555299"/>
    <w:rPr>
      <w:rFonts w:ascii="Calibri" w:eastAsia="Times New Roman" w:hAnsi="Calibri" w:cs="Times New Roman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5299"/>
    <w:pPr>
      <w:ind w:left="720" w:right="720"/>
    </w:pPr>
    <w:rPr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5299"/>
    <w:rPr>
      <w:rFonts w:ascii="Calibri" w:eastAsia="Times New Roman" w:hAnsi="Calibri" w:cs="Times New Roman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555299"/>
    <w:rPr>
      <w:i/>
      <w:color w:val="5A5A5A"/>
    </w:rPr>
  </w:style>
  <w:style w:type="character" w:styleId="IntenseEmphasis">
    <w:name w:val="Intense Emphasis"/>
    <w:uiPriority w:val="21"/>
    <w:qFormat/>
    <w:rsid w:val="00555299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555299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555299"/>
    <w:rPr>
      <w:b/>
      <w:sz w:val="24"/>
      <w:u w:val="single"/>
    </w:rPr>
  </w:style>
  <w:style w:type="character" w:styleId="BookTitle">
    <w:name w:val="Book Title"/>
    <w:uiPriority w:val="33"/>
    <w:qFormat/>
    <w:rsid w:val="00555299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5299"/>
    <w:pPr>
      <w:outlineLvl w:val="9"/>
    </w:pPr>
  </w:style>
  <w:style w:type="paragraph" w:customStyle="1" w:styleId="Char">
    <w:name w:val="Char"/>
    <w:basedOn w:val="Normal"/>
    <w:rsid w:val="005552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nhideWhenUsed/>
    <w:rsid w:val="00555299"/>
    <w:rPr>
      <w:rFonts w:ascii="Times New Roman" w:eastAsia="Calibri" w:hAnsi="Times New Roman"/>
      <w:lang w:val="en-US" w:eastAsia="en-US"/>
    </w:rPr>
  </w:style>
  <w:style w:type="paragraph" w:customStyle="1" w:styleId="Default">
    <w:name w:val="Default"/>
    <w:rsid w:val="0055529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55299"/>
    <w:rPr>
      <w:rFonts w:ascii="Calibri" w:eastAsia="Times New Roman" w:hAnsi="Calibri" w:cs="Times New Roman"/>
      <w:lang w:val="bs-Latn-BA" w:eastAsia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299"/>
    <w:pPr>
      <w:spacing w:after="0"/>
    </w:pPr>
    <w:rPr>
      <w:rFonts w:ascii="Calibri" w:eastAsia="Times New Roman" w:hAnsi="Calibri" w:cs="Times New Roman"/>
      <w:lang w:val="bs-Latn-BA" w:eastAsia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52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52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5299"/>
    <w:pPr>
      <w:keepNext/>
      <w:numPr>
        <w:numId w:val="28"/>
      </w:numPr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5299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5299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5299"/>
    <w:pPr>
      <w:spacing w:before="240" w:after="60"/>
      <w:outlineLvl w:val="5"/>
    </w:pPr>
    <w:rPr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5299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5299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5299"/>
    <w:pPr>
      <w:spacing w:before="240" w:after="60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5299"/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5299"/>
    <w:rPr>
      <w:rFonts w:eastAsia="Times New Roman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555299"/>
    <w:rPr>
      <w:rFonts w:eastAsia="Times New Roman" w:cs="Times New Roman"/>
      <w:b/>
      <w:bCs/>
      <w:sz w:val="26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rsid w:val="00555299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5299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5299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5299"/>
    <w:rPr>
      <w:rFonts w:ascii="Calibri" w:eastAsia="Times New Roman" w:hAnsi="Calibri" w:cs="Times New Roman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5299"/>
    <w:rPr>
      <w:rFonts w:ascii="Calibri" w:eastAsia="Times New Roman" w:hAnsi="Calibri" w:cs="Times New Roman"/>
      <w:i/>
      <w:iCs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5299"/>
    <w:rPr>
      <w:rFonts w:eastAsia="Times New Roman" w:cs="Times New Roman"/>
      <w:sz w:val="20"/>
      <w:szCs w:val="20"/>
      <w:lang w:val="x-none" w:eastAsia="x-none"/>
    </w:rPr>
  </w:style>
  <w:style w:type="paragraph" w:styleId="Footer">
    <w:name w:val="footer"/>
    <w:basedOn w:val="Normal"/>
    <w:link w:val="FooterChar"/>
    <w:rsid w:val="005552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55299"/>
    <w:rPr>
      <w:rFonts w:ascii="Calibri" w:eastAsia="Times New Roman" w:hAnsi="Calibri" w:cs="Times New Roman"/>
      <w:lang w:val="bs-Latn-BA" w:eastAsia="bs-Latn-BA"/>
    </w:rPr>
  </w:style>
  <w:style w:type="character" w:styleId="PageNumber">
    <w:name w:val="page number"/>
    <w:basedOn w:val="DefaultParagraphFont"/>
    <w:rsid w:val="00555299"/>
  </w:style>
  <w:style w:type="paragraph" w:styleId="BalloonText">
    <w:name w:val="Balloon Text"/>
    <w:basedOn w:val="Normal"/>
    <w:link w:val="BalloonTextChar"/>
    <w:semiHidden/>
    <w:rsid w:val="00555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55299"/>
    <w:rPr>
      <w:rFonts w:ascii="Tahoma" w:eastAsia="Times New Roman" w:hAnsi="Tahoma" w:cs="Tahoma"/>
      <w:sz w:val="16"/>
      <w:szCs w:val="16"/>
      <w:lang w:val="bs-Latn-BA" w:eastAsia="bs-Latn-BA"/>
    </w:rPr>
  </w:style>
  <w:style w:type="paragraph" w:styleId="BodyText2">
    <w:name w:val="Body Text 2"/>
    <w:basedOn w:val="Normal"/>
    <w:link w:val="BodyText2Char"/>
    <w:rsid w:val="00555299"/>
    <w:pPr>
      <w:jc w:val="both"/>
    </w:pPr>
    <w:rPr>
      <w:lang w:val="sr-Cyrl-CS" w:eastAsia="en-US"/>
    </w:rPr>
  </w:style>
  <w:style w:type="character" w:customStyle="1" w:styleId="BodyText2Char">
    <w:name w:val="Body Text 2 Char"/>
    <w:basedOn w:val="DefaultParagraphFont"/>
    <w:link w:val="BodyText2"/>
    <w:rsid w:val="00555299"/>
    <w:rPr>
      <w:rFonts w:ascii="Calibri" w:eastAsia="Times New Roman" w:hAnsi="Calibri" w:cs="Times New Roman"/>
      <w:lang w:val="sr-Cyrl-CS"/>
    </w:rPr>
  </w:style>
  <w:style w:type="paragraph" w:customStyle="1" w:styleId="Zakon-stav">
    <w:name w:val="Zakon - stav"/>
    <w:link w:val="Zakon-stavChar"/>
    <w:rsid w:val="00555299"/>
    <w:pPr>
      <w:spacing w:after="0"/>
      <w:ind w:firstLine="851"/>
      <w:jc w:val="both"/>
    </w:pPr>
    <w:rPr>
      <w:rFonts w:ascii="Calibri" w:eastAsia="Times New Roman" w:hAnsi="Calibri" w:cs="Times New Roman"/>
      <w:lang w:val="sr-Cyrl-CS"/>
    </w:rPr>
  </w:style>
  <w:style w:type="character" w:customStyle="1" w:styleId="Zakon-clanChar1">
    <w:name w:val="Zakon - clan Char1"/>
    <w:link w:val="Zakon-clan"/>
    <w:rsid w:val="00555299"/>
    <w:rPr>
      <w:b/>
      <w:bCs/>
      <w:lang w:val="sr-Cyrl-CS"/>
    </w:rPr>
  </w:style>
  <w:style w:type="paragraph" w:customStyle="1" w:styleId="Zakon-clan">
    <w:name w:val="Zakon - clan"/>
    <w:link w:val="Zakon-clanChar1"/>
    <w:rsid w:val="00555299"/>
    <w:pPr>
      <w:keepNext/>
      <w:keepLines/>
      <w:spacing w:after="0"/>
      <w:jc w:val="center"/>
    </w:pPr>
    <w:rPr>
      <w:b/>
      <w:bCs/>
      <w:lang w:val="sr-Cyrl-CS"/>
    </w:rPr>
  </w:style>
  <w:style w:type="character" w:customStyle="1" w:styleId="Zakon-stavChar">
    <w:name w:val="Zakon - stav Char"/>
    <w:link w:val="Zakon-stav"/>
    <w:rsid w:val="00555299"/>
    <w:rPr>
      <w:rFonts w:ascii="Calibri" w:eastAsia="Times New Roman" w:hAnsi="Calibri" w:cs="Times New Roman"/>
      <w:lang w:val="sr-Cyrl-CS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555299"/>
    <w:pPr>
      <w:ind w:left="720"/>
      <w:contextualSpacing/>
    </w:pPr>
  </w:style>
  <w:style w:type="paragraph" w:styleId="Header">
    <w:name w:val="header"/>
    <w:basedOn w:val="Normal"/>
    <w:link w:val="HeaderChar"/>
    <w:rsid w:val="00555299"/>
    <w:pPr>
      <w:tabs>
        <w:tab w:val="center" w:pos="4680"/>
        <w:tab w:val="right" w:pos="9360"/>
      </w:tabs>
    </w:pPr>
    <w:rPr>
      <w:lang w:val="sr-Latn-CS" w:eastAsia="sr-Latn-CS"/>
    </w:rPr>
  </w:style>
  <w:style w:type="character" w:customStyle="1" w:styleId="HeaderChar">
    <w:name w:val="Header Char"/>
    <w:basedOn w:val="DefaultParagraphFont"/>
    <w:link w:val="Header"/>
    <w:rsid w:val="00555299"/>
    <w:rPr>
      <w:rFonts w:ascii="Calibri" w:eastAsia="Times New Roman" w:hAnsi="Calibri" w:cs="Times New Roman"/>
      <w:lang w:val="sr-Latn-CS" w:eastAsia="sr-Latn-CS"/>
    </w:rPr>
  </w:style>
  <w:style w:type="character" w:styleId="CommentReference">
    <w:name w:val="annotation reference"/>
    <w:rsid w:val="00555299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5529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555299"/>
    <w:rPr>
      <w:rFonts w:eastAsia="Times New Roman" w:cs="Times New Roman"/>
      <w:b/>
      <w:bCs/>
      <w:kern w:val="28"/>
      <w:sz w:val="32"/>
      <w:szCs w:val="32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5299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555299"/>
    <w:rPr>
      <w:rFonts w:eastAsia="Times New Roman" w:cs="Times New Roman"/>
      <w:lang w:val="x-none" w:eastAsia="x-none"/>
    </w:rPr>
  </w:style>
  <w:style w:type="character" w:styleId="Strong">
    <w:name w:val="Strong"/>
    <w:uiPriority w:val="22"/>
    <w:qFormat/>
    <w:rsid w:val="00555299"/>
    <w:rPr>
      <w:b/>
      <w:bCs/>
    </w:rPr>
  </w:style>
  <w:style w:type="character" w:styleId="Emphasis">
    <w:name w:val="Emphasis"/>
    <w:uiPriority w:val="20"/>
    <w:qFormat/>
    <w:rsid w:val="00555299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555299"/>
    <w:rPr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555299"/>
    <w:rPr>
      <w:i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555299"/>
    <w:rPr>
      <w:rFonts w:ascii="Calibri" w:eastAsia="Times New Roman" w:hAnsi="Calibri" w:cs="Times New Roman"/>
      <w:i/>
      <w:lang w:val="x-none" w:eastAsia="x-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5299"/>
    <w:pPr>
      <w:ind w:left="720" w:right="720"/>
    </w:pPr>
    <w:rPr>
      <w:b/>
      <w:i/>
      <w:szCs w:val="20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5299"/>
    <w:rPr>
      <w:rFonts w:ascii="Calibri" w:eastAsia="Times New Roman" w:hAnsi="Calibri" w:cs="Times New Roman"/>
      <w:b/>
      <w:i/>
      <w:szCs w:val="20"/>
      <w:lang w:val="x-none" w:eastAsia="x-none"/>
    </w:rPr>
  </w:style>
  <w:style w:type="character" w:styleId="SubtleEmphasis">
    <w:name w:val="Subtle Emphasis"/>
    <w:uiPriority w:val="19"/>
    <w:qFormat/>
    <w:rsid w:val="00555299"/>
    <w:rPr>
      <w:i/>
      <w:color w:val="5A5A5A"/>
    </w:rPr>
  </w:style>
  <w:style w:type="character" w:styleId="IntenseEmphasis">
    <w:name w:val="Intense Emphasis"/>
    <w:uiPriority w:val="21"/>
    <w:qFormat/>
    <w:rsid w:val="00555299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555299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555299"/>
    <w:rPr>
      <w:b/>
      <w:sz w:val="24"/>
      <w:u w:val="single"/>
    </w:rPr>
  </w:style>
  <w:style w:type="character" w:styleId="BookTitle">
    <w:name w:val="Book Title"/>
    <w:uiPriority w:val="33"/>
    <w:qFormat/>
    <w:rsid w:val="00555299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5299"/>
    <w:pPr>
      <w:outlineLvl w:val="9"/>
    </w:pPr>
  </w:style>
  <w:style w:type="paragraph" w:customStyle="1" w:styleId="Char">
    <w:name w:val="Char"/>
    <w:basedOn w:val="Normal"/>
    <w:rsid w:val="005552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nhideWhenUsed/>
    <w:rsid w:val="00555299"/>
    <w:rPr>
      <w:rFonts w:ascii="Times New Roman" w:eastAsia="Calibri" w:hAnsi="Times New Roman"/>
      <w:lang w:val="en-US" w:eastAsia="en-US"/>
    </w:rPr>
  </w:style>
  <w:style w:type="paragraph" w:customStyle="1" w:styleId="Default">
    <w:name w:val="Default"/>
    <w:rsid w:val="00555299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555299"/>
    <w:rPr>
      <w:rFonts w:ascii="Calibri" w:eastAsia="Times New Roman" w:hAnsi="Calibri" w:cs="Times New Roman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daci.net/_verzija33/rezultati.php" TargetMode="External"/><Relationship Id="rId13" Type="http://schemas.openxmlformats.org/officeDocument/2006/relationships/hyperlink" Target="http://www.podaci.net/_verzija33/rezultati.php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odaci.net/_verzija33/rezultati.php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odaci.net/_verzija33/rezultati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odaci.net/_verzija33/rezultati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daci.net/_verzija33/rezultati.php" TargetMode="External"/><Relationship Id="rId14" Type="http://schemas.openxmlformats.org/officeDocument/2006/relationships/hyperlink" Target="http://www.podaci.net/_verzija33/rezultati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2064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2021-12-16T08:43:00Z</cp:lastPrinted>
  <dcterms:created xsi:type="dcterms:W3CDTF">2021-12-14T15:36:00Z</dcterms:created>
  <dcterms:modified xsi:type="dcterms:W3CDTF">2021-12-16T14:42:00Z</dcterms:modified>
</cp:coreProperties>
</file>